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F6B3C" w14:textId="77777777" w:rsidR="00590D5B" w:rsidRPr="00590D5B" w:rsidRDefault="00590D5B" w:rsidP="0059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0D5B">
        <w:rPr>
          <w:rFonts w:ascii="Times New Roman" w:hAnsi="Times New Roman" w:cs="Times New Roman"/>
          <w:b/>
          <w:sz w:val="24"/>
          <w:szCs w:val="24"/>
        </w:rPr>
        <w:t>2024 Yılı 208 Sayılı Gümrük Genel İdaresi Duyurusu (İthal Edilen Yenilebilir Olmayan Hayvansal Ürünler için Risk Seviyesinin Optimizasyonu ile Muayene ve Karantina Denetim Tedbirlerine İlişkin Duyuru)</w:t>
      </w:r>
    </w:p>
    <w:p w14:paraId="21D1B19E" w14:textId="77777777" w:rsidR="00590D5B" w:rsidRPr="00590D5B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497C58E" w14:textId="77777777" w:rsidR="00590D5B" w:rsidRPr="006A0088" w:rsidRDefault="00590D5B" w:rsidP="00590D5B">
      <w:pPr>
        <w:ind w:firstLine="420"/>
        <w:rPr>
          <w:rFonts w:ascii="Times New Roman" w:hAnsi="Times New Roman" w:cs="Times New Roman"/>
          <w:sz w:val="24"/>
          <w:szCs w:val="24"/>
          <w:lang w:val="tr-TR"/>
        </w:rPr>
      </w:pPr>
      <w:r w:rsidRPr="00590D5B">
        <w:rPr>
          <w:rFonts w:ascii="Times New Roman" w:hAnsi="Times New Roman" w:cs="Times New Roman" w:hint="cs"/>
          <w:i/>
          <w:sz w:val="24"/>
          <w:szCs w:val="24"/>
          <w:lang w:val="tr-TR"/>
        </w:rPr>
        <w:t>İ</w:t>
      </w:r>
      <w:r w:rsidRPr="00590D5B">
        <w:rPr>
          <w:rFonts w:ascii="Times New Roman" w:hAnsi="Times New Roman" w:cs="Times New Roman"/>
          <w:i/>
          <w:sz w:val="24"/>
          <w:szCs w:val="24"/>
          <w:lang w:val="tr-TR"/>
        </w:rPr>
        <w:t>thal ve İhraç Edilen Yenilebilir Olmayan Hayvansal Ürünlerin Denetlenmesi ve Karantinasının Denetlenmesi ve İdaresine İlişkin Tedbirler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 hükümlerine uygun olarak ve risk analizi sonuçlarına dayanarak, Gümrük Genel İdaresi, burada ilan edilen ithal yenilebilir olmayan hayvansal ürünler için risk seviyesini </w:t>
      </w:r>
      <w:r>
        <w:rPr>
          <w:rFonts w:ascii="Times New Roman" w:hAnsi="Times New Roman" w:cs="Times New Roman"/>
          <w:sz w:val="24"/>
          <w:szCs w:val="24"/>
          <w:lang w:val="tr-TR"/>
        </w:rPr>
        <w:t>ile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 muayene ve karantina 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enetim </w:t>
      </w:r>
      <w:r>
        <w:rPr>
          <w:rFonts w:ascii="Times New Roman" w:hAnsi="Times New Roman" w:cs="Times New Roman"/>
          <w:sz w:val="24"/>
          <w:szCs w:val="24"/>
          <w:lang w:val="tr-TR"/>
        </w:rPr>
        <w:t>tedbir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lerini optimize etmiştir(bkz.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Ek).</w:t>
      </w:r>
    </w:p>
    <w:p w14:paraId="4D82932E" w14:textId="77777777" w:rsidR="00590D5B" w:rsidRPr="006A0088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5552733" w14:textId="77777777" w:rsidR="00590D5B" w:rsidRPr="006A0088" w:rsidRDefault="001E5588" w:rsidP="001E5588">
      <w:pPr>
        <w:ind w:firstLine="420"/>
        <w:rPr>
          <w:rFonts w:ascii="Times New Roman" w:hAnsi="Times New Roman" w:cs="Times New Roman"/>
          <w:sz w:val="24"/>
          <w:szCs w:val="24"/>
          <w:lang w:val="tr-TR"/>
        </w:rPr>
      </w:pPr>
      <w:r w:rsidRPr="006A0088">
        <w:rPr>
          <w:rFonts w:ascii="Times New Roman" w:hAnsi="Times New Roman" w:cs="Times New Roman"/>
          <w:sz w:val="24"/>
          <w:szCs w:val="24"/>
          <w:lang w:val="tr-TR"/>
        </w:rPr>
        <w:t>İşb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>u duyuru yayımı tarihinden itibaren uygulanır.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Eski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Çin Halk Cumhuriyeti Kalite Denetimi, Denetimi ve Karantina Genel İdaresi'nin 2015 tarihli 41 sayılı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d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uyurusu aynı anda yürürlükten kaldırılacaktır.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Eski Çin Halk Cumhuriyeti Kalite Denetimi, Denetimi ve Karantina Genel İdaresi'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>nin 2017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Yılı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97 sayılı duyurusu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iş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bu duyuru ile tutarsızsa,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iş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>bu duyuru geçerli olacaktır.</w:t>
      </w:r>
    </w:p>
    <w:p w14:paraId="4ECDA10C" w14:textId="77777777" w:rsidR="00590D5B" w:rsidRPr="006A0088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1A83B2D" w14:textId="77777777" w:rsidR="00590D5B" w:rsidRPr="006A0088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DF303D0" w14:textId="77777777" w:rsidR="001F55D3" w:rsidRPr="006A0088" w:rsidRDefault="00590D5B" w:rsidP="001E5588">
      <w:pPr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</w:pPr>
      <w:r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Ek: 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 xml:space="preserve">İthal Edilen </w:t>
      </w:r>
      <w:r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>Yenilebilir Olmayan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 xml:space="preserve"> Hayvansal </w:t>
      </w:r>
      <w:r w:rsidRPr="006A0088">
        <w:rPr>
          <w:rFonts w:ascii="Times New Roman" w:eastAsia="方正小标宋_GBK" w:hAnsi="Times New Roman" w:cs="Times New Roman"/>
          <w:b/>
          <w:color w:val="000000"/>
          <w:sz w:val="22"/>
          <w:szCs w:val="24"/>
          <w:lang w:val="tr-TR"/>
        </w:rPr>
        <w:t>Ürünlerin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 xml:space="preserve"> Risk Seviyeleri ile Muayene ve Karantina Denetim </w:t>
      </w:r>
      <w:r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>Tedbirleri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>nin Listesi</w:t>
      </w:r>
    </w:p>
    <w:p w14:paraId="1EE633EE" w14:textId="77777777" w:rsidR="001F55D3" w:rsidRPr="006A0088" w:rsidRDefault="001F55D3" w:rsidP="001F55D3">
      <w:pPr>
        <w:jc w:val="center"/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</w:pPr>
    </w:p>
    <w:tbl>
      <w:tblPr>
        <w:tblW w:w="14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4863"/>
        <w:gridCol w:w="1457"/>
        <w:gridCol w:w="5942"/>
      </w:tblGrid>
      <w:tr w:rsidR="001F55D3" w:rsidRPr="00590D5B" w14:paraId="407B9378" w14:textId="77777777" w:rsidTr="00C60435">
        <w:trPr>
          <w:tblHeader/>
          <w:jc w:val="center"/>
        </w:trPr>
        <w:tc>
          <w:tcPr>
            <w:tcW w:w="1752" w:type="dxa"/>
            <w:vAlign w:val="center"/>
          </w:tcPr>
          <w:p w14:paraId="00630490" w14:textId="77777777" w:rsidR="001F55D3" w:rsidRPr="00590D5B" w:rsidRDefault="001F55D3" w:rsidP="00C6043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590D5B">
              <w:rPr>
                <w:rFonts w:ascii="Times New Roman" w:eastAsia="方正黑体_GBK" w:hAnsi="Times New Roman" w:cs="Times New Roman"/>
                <w:color w:val="000000"/>
                <w:szCs w:val="21"/>
              </w:rPr>
              <w:t>Kategori</w:t>
            </w:r>
          </w:p>
        </w:tc>
        <w:tc>
          <w:tcPr>
            <w:tcW w:w="4863" w:type="dxa"/>
            <w:vAlign w:val="center"/>
          </w:tcPr>
          <w:p w14:paraId="71B2A648" w14:textId="77777777" w:rsidR="001F55D3" w:rsidRPr="00590D5B" w:rsidRDefault="001F55D3" w:rsidP="00C6043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  <w:lang w:val="tr-TR"/>
              </w:rPr>
            </w:pPr>
            <w:r w:rsidRPr="00590D5B">
              <w:rPr>
                <w:rFonts w:ascii="Times New Roman" w:eastAsia="方正黑体_GBK" w:hAnsi="Times New Roman" w:cs="Times New Roman"/>
                <w:color w:val="000000"/>
                <w:szCs w:val="21"/>
                <w:lang w:val="tr-TR"/>
              </w:rPr>
              <w:t>Ürün</w:t>
            </w:r>
          </w:p>
        </w:tc>
        <w:tc>
          <w:tcPr>
            <w:tcW w:w="1457" w:type="dxa"/>
            <w:vAlign w:val="center"/>
          </w:tcPr>
          <w:p w14:paraId="6DA20B2C" w14:textId="77777777" w:rsidR="001F55D3" w:rsidRPr="00590D5B" w:rsidRDefault="001F55D3" w:rsidP="001F55D3">
            <w:pPr>
              <w:spacing w:line="300" w:lineRule="exact"/>
              <w:ind w:firstLineChars="50" w:firstLine="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590D5B">
              <w:rPr>
                <w:rFonts w:ascii="Times New Roman" w:eastAsia="方正黑体_GBK" w:hAnsi="Times New Roman" w:cs="Times New Roman"/>
                <w:color w:val="000000"/>
                <w:szCs w:val="21"/>
              </w:rPr>
              <w:t>Risk Seviyesi</w:t>
            </w:r>
          </w:p>
        </w:tc>
        <w:tc>
          <w:tcPr>
            <w:tcW w:w="5942" w:type="dxa"/>
            <w:vAlign w:val="center"/>
          </w:tcPr>
          <w:p w14:paraId="7C937850" w14:textId="77777777" w:rsidR="001F55D3" w:rsidRPr="00590D5B" w:rsidRDefault="001F55D3" w:rsidP="001F55D3">
            <w:pPr>
              <w:spacing w:line="300" w:lineRule="exact"/>
              <w:ind w:firstLineChars="50" w:firstLine="115"/>
              <w:jc w:val="center"/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</w:pPr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>Karantina ve Denetim Önlemleri</w:t>
            </w:r>
          </w:p>
        </w:tc>
      </w:tr>
      <w:tr w:rsidR="001F55D3" w:rsidRPr="00590D5B" w14:paraId="46A5A692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5FD5268D" w14:textId="77777777" w:rsidR="001F55D3" w:rsidRPr="00590D5B" w:rsidRDefault="0022628F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rFonts w:ascii="Times New Roman" w:eastAsia="方正仿宋_GBK" w:hAnsi="Times New Roman" w:cs="Times New Roman"/>
                <w:color w:val="000000"/>
                <w:szCs w:val="21"/>
              </w:rPr>
              <w:t>Deriler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4E5C3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Atgillerin ham derileri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F2AF3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I. Seviye</w:t>
            </w:r>
          </w:p>
        </w:tc>
        <w:tc>
          <w:tcPr>
            <w:tcW w:w="5942" w:type="dxa"/>
            <w:vAlign w:val="center"/>
          </w:tcPr>
          <w:p w14:paraId="0CFFA690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girişte karantina sertifikasının kontrolü ve karantina uygulaması; giriş sonrası belirlenmiş işletmelerde depolama ve işleme.</w:t>
            </w:r>
          </w:p>
        </w:tc>
      </w:tr>
      <w:tr w:rsidR="001F55D3" w:rsidRPr="00590D5B" w14:paraId="516E840E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5BF41B16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FF1FC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Tüm yabani hayvan derileri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25F7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I. Seviye</w:t>
            </w:r>
          </w:p>
        </w:tc>
        <w:tc>
          <w:tcPr>
            <w:tcW w:w="5942" w:type="dxa"/>
            <w:vAlign w:val="center"/>
          </w:tcPr>
          <w:p w14:paraId="47C45144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giriş öncesi "Giriş Bitki ve Hayvan Karantina İzni" alınması; yurtdışı üretim ve işleme tesislerinin kayıt altına alınması; girişte karantina sertifikasının kontrolü ve karantina uygulaması; giriş sonrası belirlenmiş işletmelerde depolama ve işleme.</w:t>
            </w:r>
          </w:p>
        </w:tc>
      </w:tr>
      <w:tr w:rsidR="001F55D3" w:rsidRPr="00590D5B" w14:paraId="269A5A37" w14:textId="77777777" w:rsidTr="00C60435">
        <w:trPr>
          <w:trHeight w:val="1254"/>
          <w:jc w:val="center"/>
        </w:trPr>
        <w:tc>
          <w:tcPr>
            <w:tcW w:w="1752" w:type="dxa"/>
            <w:vMerge/>
            <w:vAlign w:val="center"/>
          </w:tcPr>
          <w:p w14:paraId="17CCEB93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61BC1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Diğer hayvanların ham derileri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7B2D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II. Seviye</w:t>
            </w:r>
          </w:p>
        </w:tc>
        <w:tc>
          <w:tcPr>
            <w:tcW w:w="5942" w:type="dxa"/>
            <w:vAlign w:val="center"/>
          </w:tcPr>
          <w:p w14:paraId="1F6952CE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girişte karantina sertifikasının kontrolü ve karantina uygulaması.</w:t>
            </w:r>
          </w:p>
        </w:tc>
      </w:tr>
      <w:tr w:rsidR="001F55D3" w:rsidRPr="00590D5B" w14:paraId="193ED9B1" w14:textId="77777777" w:rsidTr="00C60435">
        <w:trPr>
          <w:trHeight w:val="503"/>
          <w:jc w:val="center"/>
        </w:trPr>
        <w:tc>
          <w:tcPr>
            <w:tcW w:w="1752" w:type="dxa"/>
            <w:vMerge/>
            <w:vAlign w:val="center"/>
          </w:tcPr>
          <w:p w14:paraId="0A83BE5C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82BF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Kireçleme deriler (pH 14 veya üzeri ortamda en az 2 saat işlem görmüş), asitleme deriler (pH 2 veya altı ortamda en az 1 saat işlem görmüş) ve diğer eşdeğer yöntemlerle işlenmiş tabaklanmamış deriler; tabaklanmış deriler (ilgili hayvan hastalığı yasaklı bölgelerden)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6C37D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III. Seviye</w:t>
            </w:r>
          </w:p>
        </w:tc>
        <w:tc>
          <w:tcPr>
            <w:tcW w:w="5942" w:type="dxa"/>
            <w:vAlign w:val="center"/>
          </w:tcPr>
          <w:p w14:paraId="37E64DAE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Yurtdışı üretim ve işleme tesislerinin kayıt altına alınması; girişte karantina sertifikasının kontrolü ve karantina uygulaması.</w:t>
            </w:r>
          </w:p>
        </w:tc>
      </w:tr>
      <w:tr w:rsidR="001F55D3" w:rsidRPr="00590D5B" w14:paraId="6D755B7A" w14:textId="77777777" w:rsidTr="00C60435">
        <w:trPr>
          <w:trHeight w:val="427"/>
          <w:jc w:val="center"/>
        </w:trPr>
        <w:tc>
          <w:tcPr>
            <w:tcW w:w="1752" w:type="dxa"/>
            <w:vMerge/>
            <w:vAlign w:val="center"/>
          </w:tcPr>
          <w:p w14:paraId="1B3207BC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F861F" w14:textId="77777777" w:rsidR="001F55D3" w:rsidRPr="00590D5B" w:rsidRDefault="0022628F" w:rsidP="00590D5B">
            <w:pPr>
              <w:widowControl/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Tabaklanmış deriler (ilgili hayvan hastalığı yasaklı olmayan bölgelerden)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93067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IV. Seviye</w:t>
            </w:r>
          </w:p>
        </w:tc>
        <w:tc>
          <w:tcPr>
            <w:tcW w:w="5942" w:type="dxa"/>
            <w:vAlign w:val="center"/>
          </w:tcPr>
          <w:p w14:paraId="45B28A6D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uygulaması.</w:t>
            </w:r>
          </w:p>
        </w:tc>
      </w:tr>
      <w:tr w:rsidR="001F55D3" w:rsidRPr="00590D5B" w14:paraId="0A6D9F29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4A433608" w14:textId="77777777" w:rsidR="001F55D3" w:rsidRPr="00590D5B" w:rsidRDefault="0022628F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Kıllar ve Lifler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C9B2A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Ham yün, ham tüy, yıkanmamış kuş tüyü ve telek, işlenmemiş kıl ve kuyruk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94DF6" w14:textId="77777777" w:rsidR="001F55D3" w:rsidRPr="00590D5B" w:rsidRDefault="0022628F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I. Seviye</w:t>
            </w:r>
          </w:p>
        </w:tc>
        <w:tc>
          <w:tcPr>
            <w:tcW w:w="5942" w:type="dxa"/>
            <w:vAlign w:val="center"/>
          </w:tcPr>
          <w:p w14:paraId="0F109696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 öncesi "Giriş Bitki ve Hayvan Karantina İzni" alınması; girişte karantina sertifikasının kontrolü ve karantina uygulaması; giriş sonrası belirlenmiş işletmelerde depolama ve işleme.</w:t>
            </w:r>
          </w:p>
        </w:tc>
      </w:tr>
      <w:tr w:rsidR="001F55D3" w:rsidRPr="00590D5B" w14:paraId="0D727879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2A7F90E2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5EF49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Yıkanmış yün ve tüy, yıkanmış kuş tüyü ve telek, yıkanmış at ve sığır (kıl) kuyruk tüyü, haşlanmış domuz kılı, yün döküntüleri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C4C5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III. Seviye</w:t>
            </w:r>
          </w:p>
        </w:tc>
        <w:tc>
          <w:tcPr>
            <w:tcW w:w="5942" w:type="dxa"/>
            <w:vAlign w:val="center"/>
          </w:tcPr>
          <w:p w14:paraId="119EA025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Yurtdışı üretim ve işleme tesislerinin kayıt altına alınması; girişte karantina sertifikasının kontrolü ve karantina uygulaması.</w:t>
            </w:r>
          </w:p>
        </w:tc>
      </w:tr>
      <w:tr w:rsidR="001F55D3" w:rsidRPr="00590D5B" w14:paraId="49705B71" w14:textId="77777777" w:rsidTr="00C60435">
        <w:trPr>
          <w:trHeight w:val="948"/>
          <w:jc w:val="center"/>
        </w:trPr>
        <w:tc>
          <w:tcPr>
            <w:tcW w:w="1752" w:type="dxa"/>
            <w:vMerge/>
            <w:vAlign w:val="center"/>
          </w:tcPr>
          <w:p w14:paraId="7B8462F1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49F1B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Yağları alınmış veya boyanmış süs tüyleri, karbonize yün, taranmış yün, yün topakları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837C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IV. Seviye</w:t>
            </w:r>
          </w:p>
        </w:tc>
        <w:tc>
          <w:tcPr>
            <w:tcW w:w="5942" w:type="dxa"/>
            <w:vAlign w:val="center"/>
          </w:tcPr>
          <w:p w14:paraId="4E08FA1F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uygulaması.</w:t>
            </w:r>
          </w:p>
        </w:tc>
      </w:tr>
      <w:tr w:rsidR="001F55D3" w:rsidRPr="00590D5B" w14:paraId="04F89D0F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7670D244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Kemik, Tırnak, Boynuz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F8133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İşlenmemiş veya basit işlem görmüş kara hayvanlarına ait kemik, tırnak, boynuz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C5D2A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I. Seviye</w:t>
            </w:r>
          </w:p>
        </w:tc>
        <w:tc>
          <w:tcPr>
            <w:tcW w:w="5942" w:type="dxa"/>
            <w:vAlign w:val="center"/>
          </w:tcPr>
          <w:p w14:paraId="789EF3B7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Karantina giriş şartı; yurtdışı üretim ve işleme tesislerinin kayıt altına alınması; giriş öncesi "Giriş Bitki ve Hayvan Karantina İzni" </w:t>
            </w:r>
            <w:r w:rsidRPr="00590D5B">
              <w:lastRenderedPageBreak/>
              <w:t>alınması; girişte karantina sertifikasının kontrolü ve karantina uygulaması; giriş sonrası belirlenmiş işletmelerde depolama ve işleme.</w:t>
            </w:r>
          </w:p>
        </w:tc>
      </w:tr>
      <w:tr w:rsidR="001F55D3" w:rsidRPr="00590D5B" w14:paraId="497EBBA4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50ADF960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4C92B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Isıl işlem görmüş (ürün merkez sıcaklığı 80°C veya üzerinde en az 30 dakika) geviş getiren hayvan kemik, tırnak, boynuzu, su aygırı dişi gibi hayvan dişleri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642AD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II. Seviye</w:t>
            </w:r>
          </w:p>
        </w:tc>
        <w:tc>
          <w:tcPr>
            <w:tcW w:w="5942" w:type="dxa"/>
            <w:vAlign w:val="center"/>
          </w:tcPr>
          <w:p w14:paraId="2698A856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 öncesi "Giriş Bitki ve Hayvan Karantina İzni" alınması; girişte karantina sertifikasının kontrolü ve karantina uygulaması.</w:t>
            </w:r>
          </w:p>
        </w:tc>
      </w:tr>
      <w:tr w:rsidR="009C62A5" w:rsidRPr="00590D5B" w14:paraId="2764E73D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1DF15899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D23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Isıl işlem görmüş (ürün merkez sıcaklığı 80°C veya üzerinde en az 30 dakika) geviş getirmeyen hayvan kemik, tırnak, boynuzu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0377" w14:textId="77777777" w:rsidR="009C62A5" w:rsidRPr="00590D5B" w:rsidRDefault="009C62A5" w:rsidP="009C62A5">
            <w:pPr>
              <w:jc w:val="center"/>
            </w:pPr>
            <w:r w:rsidRPr="00590D5B">
              <w:t>III. Seviye</w:t>
            </w:r>
          </w:p>
        </w:tc>
        <w:tc>
          <w:tcPr>
            <w:tcW w:w="5942" w:type="dxa"/>
            <w:vAlign w:val="center"/>
          </w:tcPr>
          <w:p w14:paraId="0414A75A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Yurtdışı üretim ve işleme tesislerinin kayıt altına alınması; girişte karantina sertifikasının kontrolü ve karantina uygulaması.</w:t>
            </w:r>
          </w:p>
        </w:tc>
      </w:tr>
      <w:tr w:rsidR="009C62A5" w:rsidRPr="00590D5B" w14:paraId="12EA208D" w14:textId="77777777" w:rsidTr="00C60435">
        <w:trPr>
          <w:trHeight w:val="382"/>
          <w:jc w:val="center"/>
        </w:trPr>
        <w:tc>
          <w:tcPr>
            <w:tcW w:w="1752" w:type="dxa"/>
            <w:vMerge/>
            <w:vAlign w:val="center"/>
          </w:tcPr>
          <w:p w14:paraId="6507C3D5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0B6D1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Mamut dişi gibi fosilleşmiş kemik, tırnak, boynuz, dişler; derin işlem görmüş hayvansal kemik, tırnak, boynuz, dişlerden yapılmış kültürel sanat eserleri; hayvan boynuzundan yapılmış öğütme kabı, çay kaşığı, tarak, ayakkabı çekeceği gibi ürünler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2541B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IV. Seviye</w:t>
            </w:r>
          </w:p>
        </w:tc>
        <w:tc>
          <w:tcPr>
            <w:tcW w:w="5942" w:type="dxa"/>
            <w:vAlign w:val="center"/>
          </w:tcPr>
          <w:p w14:paraId="2481641B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uygulaması.</w:t>
            </w:r>
          </w:p>
        </w:tc>
      </w:tr>
      <w:tr w:rsidR="009C62A5" w:rsidRPr="00590D5B" w14:paraId="798BAE06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3AEF724D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Yağlar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0CCD7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İşlenmemiş kara hayvanları yağı ve soğuk pres yağları; TSE yasaklı bölgelerden ısıl işlem görmüş (ürün merkez sıcaklığı 80°C veya üzerinde en az 30 dakika) geviş getiren hayvan yağları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F17EB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II. Seviye</w:t>
            </w:r>
          </w:p>
        </w:tc>
        <w:tc>
          <w:tcPr>
            <w:tcW w:w="5942" w:type="dxa"/>
            <w:vAlign w:val="center"/>
          </w:tcPr>
          <w:p w14:paraId="3A05549C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 öncesi "Giriş Bitki ve Hayvan Karantina İzni" alınması; girişte karantina sertifikasının kontrolü ve karantina uygulaması.</w:t>
            </w:r>
          </w:p>
        </w:tc>
      </w:tr>
      <w:tr w:rsidR="009C62A5" w:rsidRPr="00590D5B" w14:paraId="00AB132A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7EA015B6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DD8EF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Isıl işlem görmüş (ürün merkez sıcaklığı 80°C veya üzerinde en az 30 dakika) hayvan yağları (TSE yasaklı bölgelerden geviş getiren hayvan yağları hariç), amfibi ve sürüngen yağları, yün yağı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81F5E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III. Seviye</w:t>
            </w:r>
          </w:p>
        </w:tc>
        <w:tc>
          <w:tcPr>
            <w:tcW w:w="5942" w:type="dxa"/>
            <w:vAlign w:val="center"/>
          </w:tcPr>
          <w:p w14:paraId="19482B1F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Yurtdışı üretim ve işleme tesislerinin kayıt altına alınması; girişte karantina sertifikasının kontrolü ve karantina uygulaması.</w:t>
            </w:r>
          </w:p>
        </w:tc>
      </w:tr>
      <w:tr w:rsidR="009C62A5" w:rsidRPr="00590D5B" w14:paraId="53510C01" w14:textId="77777777" w:rsidTr="00C60435">
        <w:trPr>
          <w:trHeight w:val="430"/>
          <w:jc w:val="center"/>
        </w:trPr>
        <w:tc>
          <w:tcPr>
            <w:tcW w:w="1752" w:type="dxa"/>
            <w:vAlign w:val="center"/>
          </w:tcPr>
          <w:p w14:paraId="3E0AF000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Hayvan Numuneleri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FD41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Koruyucu işlem görmüş hayvan numuneleri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16FF8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IV. Seviye</w:t>
            </w:r>
          </w:p>
        </w:tc>
        <w:tc>
          <w:tcPr>
            <w:tcW w:w="5942" w:type="dxa"/>
            <w:vAlign w:val="center"/>
          </w:tcPr>
          <w:p w14:paraId="7F615043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uygulaması.</w:t>
            </w:r>
          </w:p>
        </w:tc>
      </w:tr>
      <w:tr w:rsidR="009C62A5" w:rsidRPr="00590D5B" w14:paraId="0D8BBF36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67467154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İpek Ürünleri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6A418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İşlenmemiş ipek kozaları, ipek böceği pupaları, kesik ağızlı kozalar, uzun lifler, ham ipek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1FADF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II. Seviye</w:t>
            </w:r>
          </w:p>
        </w:tc>
        <w:tc>
          <w:tcPr>
            <w:tcW w:w="5942" w:type="dxa"/>
            <w:vAlign w:val="center"/>
          </w:tcPr>
          <w:p w14:paraId="638201CB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Karantina giriş şartı; yurtdışı üretim ve işleme tesislerinin kayıt altına alınması; giriş öncesi "Giriş Bitki ve Hayvan Karantina İzni" </w:t>
            </w:r>
            <w:r w:rsidRPr="00590D5B">
              <w:lastRenderedPageBreak/>
              <w:t>alınması; girişte karantina sertifikasının kontrolü ve karantina uygulaması.</w:t>
            </w:r>
          </w:p>
        </w:tc>
      </w:tr>
      <w:tr w:rsidR="009C62A5" w:rsidRPr="00590D5B" w14:paraId="13937823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453334C3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BF4E1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Döküntü ipek lifleri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45FD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III. Seviye</w:t>
            </w:r>
          </w:p>
        </w:tc>
        <w:tc>
          <w:tcPr>
            <w:tcW w:w="5942" w:type="dxa"/>
            <w:vAlign w:val="center"/>
          </w:tcPr>
          <w:p w14:paraId="6F7FC41D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sertifikasının kontrolü ve karantina uygulaması.</w:t>
            </w:r>
          </w:p>
        </w:tc>
      </w:tr>
      <w:tr w:rsidR="009C62A5" w:rsidRPr="00590D5B" w14:paraId="37EC2CB5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1B7483E6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4D656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Ham ipek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F7B88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IV. Seviye</w:t>
            </w:r>
          </w:p>
        </w:tc>
        <w:tc>
          <w:tcPr>
            <w:tcW w:w="5942" w:type="dxa"/>
            <w:vAlign w:val="center"/>
          </w:tcPr>
          <w:p w14:paraId="08C2E587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uygulaması.</w:t>
            </w:r>
          </w:p>
        </w:tc>
      </w:tr>
      <w:tr w:rsidR="009C62A5" w:rsidRPr="00590D5B" w14:paraId="7018186D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7A7BEC39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Arı Ürünleri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24A0E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İşlenmemiş bal peteği, balmumu, propolis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E4F5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II. Seviye</w:t>
            </w:r>
          </w:p>
        </w:tc>
        <w:tc>
          <w:tcPr>
            <w:tcW w:w="5942" w:type="dxa"/>
            <w:vAlign w:val="center"/>
          </w:tcPr>
          <w:p w14:paraId="027F7E2C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 öncesi "Giriş Bitki ve Hayvan Karantina İzni" alınması; girişte karantina sertifikasının kontrolü ve karantina uygulaması.</w:t>
            </w:r>
          </w:p>
        </w:tc>
      </w:tr>
      <w:tr w:rsidR="009C62A5" w:rsidRPr="00590D5B" w14:paraId="66555ACC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676E0183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EF5C" w14:textId="77777777" w:rsidR="009C62A5" w:rsidRPr="00590D5B" w:rsidRDefault="00590D5B" w:rsidP="00590D5B">
            <w:pPr>
              <w:tabs>
                <w:tab w:val="left" w:pos="675"/>
              </w:tabs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Diğer arı ürünleri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5E0E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IV. Seviye</w:t>
            </w:r>
          </w:p>
        </w:tc>
        <w:tc>
          <w:tcPr>
            <w:tcW w:w="5942" w:type="dxa"/>
            <w:vAlign w:val="center"/>
          </w:tcPr>
          <w:p w14:paraId="73A043C9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uygulaması.</w:t>
            </w:r>
          </w:p>
        </w:tc>
      </w:tr>
      <w:tr w:rsidR="009C62A5" w:rsidRPr="00590D5B" w14:paraId="357A5355" w14:textId="77777777" w:rsidTr="00C60435">
        <w:trPr>
          <w:trHeight w:val="625"/>
          <w:jc w:val="center"/>
        </w:trPr>
        <w:tc>
          <w:tcPr>
            <w:tcW w:w="1752" w:type="dxa"/>
            <w:vMerge w:val="restart"/>
            <w:vAlign w:val="center"/>
          </w:tcPr>
          <w:p w14:paraId="738929C9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Su Ürünleri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F083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İşlenmemiş su hayvanları deri, kemik, pul, kabuk gibi yan ürünler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BD264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III. Seviye</w:t>
            </w:r>
          </w:p>
        </w:tc>
        <w:tc>
          <w:tcPr>
            <w:tcW w:w="5942" w:type="dxa"/>
            <w:vAlign w:val="center"/>
          </w:tcPr>
          <w:p w14:paraId="53A32975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sertifikasının kontrolü ve karantina uygulaması.</w:t>
            </w:r>
          </w:p>
        </w:tc>
      </w:tr>
      <w:tr w:rsidR="009C62A5" w:rsidRPr="00590D5B" w14:paraId="41AE7281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30DBB7F3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CB778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İşlenmiş su hayvanları deri, kemik, pul, kabuk gibi yan ürünler; mercan, inci, doğal sünger ve ürünleri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780C2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IV. Seviye</w:t>
            </w:r>
          </w:p>
        </w:tc>
        <w:tc>
          <w:tcPr>
            <w:tcW w:w="5942" w:type="dxa"/>
            <w:vAlign w:val="center"/>
          </w:tcPr>
          <w:p w14:paraId="77639094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uygulaması.</w:t>
            </w:r>
          </w:p>
        </w:tc>
      </w:tr>
      <w:tr w:rsidR="009C62A5" w:rsidRPr="00590D5B" w14:paraId="2F1C65A7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5C6B98B3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rPr>
                <w:bCs/>
              </w:rPr>
              <w:t>Diğer Gıda Dışı Hayvansal Ürünler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E0310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İşlenmemiş veya basit işlem görmüş iç organlar, dokular ve sindirim sıvıları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5634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I. Seviye</w:t>
            </w:r>
          </w:p>
        </w:tc>
        <w:tc>
          <w:tcPr>
            <w:tcW w:w="5942" w:type="dxa"/>
            <w:vAlign w:val="center"/>
          </w:tcPr>
          <w:p w14:paraId="7FEFD71D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 öncesi "Giriş Bitki ve Hayvan Karantina İzni" alınması; girişte karantina sertifikasının kontrolü ve karantina uygulaması; giriş sonrası belirlenmiş işletmelerde depolama ve işleme.</w:t>
            </w:r>
          </w:p>
        </w:tc>
      </w:tr>
      <w:tr w:rsidR="009C62A5" w:rsidRPr="00590D5B" w14:paraId="3F3C6FB8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6F7483B8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11B1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Hayvansal gübreler, geviş getiren hayvan kaynaklı kemik jelatini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AA36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II. Seviye</w:t>
            </w:r>
          </w:p>
        </w:tc>
        <w:tc>
          <w:tcPr>
            <w:tcW w:w="5942" w:type="dxa"/>
            <w:vAlign w:val="center"/>
          </w:tcPr>
          <w:p w14:paraId="3C73BD92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Karantina giriş şartı; yurtdışı üretim ve işleme tesislerinin kayıt altına alınması; girişte karantina sertifikasının kontrolü ve karantina uygulaması.</w:t>
            </w:r>
          </w:p>
        </w:tc>
      </w:tr>
      <w:tr w:rsidR="009C62A5" w:rsidRPr="00590D5B" w14:paraId="74A8F385" w14:textId="77777777" w:rsidTr="00C60435">
        <w:trPr>
          <w:trHeight w:val="1380"/>
          <w:jc w:val="center"/>
        </w:trPr>
        <w:tc>
          <w:tcPr>
            <w:tcW w:w="1752" w:type="dxa"/>
            <w:vMerge/>
            <w:vAlign w:val="center"/>
          </w:tcPr>
          <w:p w14:paraId="0C96ABFB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07043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Kazein gibi derin işlem görmüş veya saflaştırılmış süt kaynaklı ürünler; diğer jelatinler; kondroitin sülfat, kalsiyum fosfat, safra tuzları gibi derin işlem görmüş hayvansal yan ürünler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F7709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III. Seviye</w:t>
            </w:r>
          </w:p>
        </w:tc>
        <w:tc>
          <w:tcPr>
            <w:tcW w:w="5942" w:type="dxa"/>
            <w:vAlign w:val="center"/>
          </w:tcPr>
          <w:p w14:paraId="28B64CB1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>Girişte karantina sertifikasının kontrolü ve karantina uygulaması.</w:t>
            </w:r>
          </w:p>
        </w:tc>
      </w:tr>
    </w:tbl>
    <w:p w14:paraId="109331A0" w14:textId="77777777" w:rsidR="001F55D3" w:rsidRDefault="001F55D3" w:rsidP="00590D5B">
      <w:pPr>
        <w:rPr>
          <w:rFonts w:ascii="Times New Roman" w:eastAsia="方正仿宋简体" w:hAnsi="Times New Roman" w:cs="Times New Roman"/>
          <w:color w:val="000000"/>
          <w:szCs w:val="21"/>
          <w:lang w:val="tr-TR"/>
        </w:rPr>
      </w:pPr>
    </w:p>
    <w:p w14:paraId="79E387C9" w14:textId="77777777" w:rsidR="001F55D3" w:rsidRPr="001F55D3" w:rsidRDefault="009F1BAC" w:rsidP="00C7396B">
      <w:pPr>
        <w:rPr>
          <w:rFonts w:ascii="Times New Roman" w:hAnsi="Times New Roman" w:cs="Times New Roman"/>
          <w:szCs w:val="21"/>
        </w:rPr>
      </w:pPr>
      <w:r>
        <w:rPr>
          <w:rFonts w:ascii="Times New Roman" w:eastAsia="方正仿宋简体" w:hAnsi="Times New Roman" w:cs="Times New Roman"/>
          <w:color w:val="000000"/>
          <w:szCs w:val="21"/>
          <w:lang w:val="tr-TR"/>
        </w:rPr>
        <w:t>İlgili Resmi</w:t>
      </w:r>
      <w:r w:rsidR="00C7396B">
        <w:rPr>
          <w:rFonts w:ascii="Times New Roman" w:eastAsia="方正仿宋简体" w:hAnsi="Times New Roman" w:cs="Times New Roman"/>
          <w:color w:val="000000"/>
          <w:szCs w:val="21"/>
          <w:lang w:val="tr-TR"/>
        </w:rPr>
        <w:t xml:space="preserve"> Duyuru</w:t>
      </w:r>
      <w:r w:rsidR="00590D5B">
        <w:rPr>
          <w:rFonts w:ascii="Times New Roman" w:eastAsia="方正仿宋简体" w:hAnsi="Times New Roman" w:cs="Times New Roman"/>
          <w:color w:val="000000"/>
          <w:szCs w:val="21"/>
          <w:lang w:val="tr-TR"/>
        </w:rPr>
        <w:t xml:space="preserve">: </w:t>
      </w:r>
      <w:hyperlink r:id="rId7" w:history="1">
        <w:r w:rsidRPr="001D7CC2">
          <w:rPr>
            <w:rStyle w:val="Kpr"/>
            <w:rFonts w:ascii="Times New Roman" w:hAnsi="Times New Roman" w:cs="Times New Roman"/>
            <w:szCs w:val="21"/>
          </w:rPr>
          <w:t>http://www.customs.gov.cn/customs/302249/2480148/6301755/index.html</w:t>
        </w:r>
      </w:hyperlink>
      <w:r>
        <w:rPr>
          <w:rFonts w:ascii="Times New Roman" w:hAnsi="Times New Roman" w:cs="Times New Roman"/>
          <w:szCs w:val="21"/>
        </w:rPr>
        <w:t xml:space="preserve"> </w:t>
      </w:r>
    </w:p>
    <w:sectPr w:rsidR="001F55D3" w:rsidRPr="001F55D3" w:rsidSect="001F55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F45B1" w14:textId="77777777" w:rsidR="009C3507" w:rsidRDefault="009C3507" w:rsidP="00F54475">
      <w:r>
        <w:separator/>
      </w:r>
    </w:p>
  </w:endnote>
  <w:endnote w:type="continuationSeparator" w:id="0">
    <w:p w14:paraId="3793A838" w14:textId="77777777" w:rsidR="009C3507" w:rsidRDefault="009C3507" w:rsidP="00F5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方正小标宋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Microsoft YaHei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Microsoft YaHei"/>
    <w:charset w:val="86"/>
    <w:family w:val="script"/>
    <w:pitch w:val="variable"/>
    <w:sig w:usb0="00000000" w:usb1="080E0000" w:usb2="0000000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000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42035" w14:textId="77777777" w:rsidR="009C3507" w:rsidRDefault="009C3507" w:rsidP="00F54475">
      <w:r>
        <w:separator/>
      </w:r>
    </w:p>
  </w:footnote>
  <w:footnote w:type="continuationSeparator" w:id="0">
    <w:p w14:paraId="68C54BAA" w14:textId="77777777" w:rsidR="009C3507" w:rsidRDefault="009C3507" w:rsidP="00F5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F3"/>
    <w:rsid w:val="00052349"/>
    <w:rsid w:val="000749F3"/>
    <w:rsid w:val="001E5588"/>
    <w:rsid w:val="001F55D3"/>
    <w:rsid w:val="0022628F"/>
    <w:rsid w:val="004A4B43"/>
    <w:rsid w:val="00590D5B"/>
    <w:rsid w:val="006A0088"/>
    <w:rsid w:val="007819DB"/>
    <w:rsid w:val="009C3507"/>
    <w:rsid w:val="009C62A5"/>
    <w:rsid w:val="009F1BAC"/>
    <w:rsid w:val="00C7396B"/>
    <w:rsid w:val="00DB6D4D"/>
    <w:rsid w:val="00F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24EB2"/>
  <w15:docId w15:val="{CF281783-4F4C-4E18-93D0-92357F5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55D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F1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toms.gov.cn/customs/302249/2480148/6301755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F2B2-0EE7-4AF7-ACD9-F87AD618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6679</Characters>
  <Application>Microsoft Office Word</Application>
  <DocSecurity>0</DocSecurity>
  <Lines>162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Kübra ÇELEBİ</cp:lastModifiedBy>
  <cp:revision>2</cp:revision>
  <dcterms:created xsi:type="dcterms:W3CDTF">2025-06-16T13:51:00Z</dcterms:created>
  <dcterms:modified xsi:type="dcterms:W3CDTF">2025-06-16T13:51:00Z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user=17117691946</vt:lpwstr>
  </property>
  <property fmtid="{D5CDD505-2E9C-101B-9397-08002B2CF9AE}" pid="4" name="geodilabeltime">
    <vt:lpwstr>datetime=2025-06-12T06:15:02.588Z</vt:lpwstr>
  </property>
</Properties>
</file>